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แผนการเรียนรู้รหัสวิชา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203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ชื่อวิชาภาษาไทย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พลเมืองกับความรับผิดชอบต่อสังคม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 3(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)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bidi="th-TH"/>
        </w:rPr>
        <w:t xml:space="preserve">ชื่อวิชาภาษาอังกฤษ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Civic Education</w:t>
      </w:r>
    </w:p>
    <w:p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bidi="th-TH"/>
        </w:rPr>
        <w:t xml:space="preserve">ชื่อผู้สอน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>อาจารย์  จินตนา  เรียงไรสวัสดิ์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color w:val="000000"/>
          <w:sz w:val="32"/>
          <w:szCs w:val="32"/>
          <w:cs/>
          <w:lang w:val="th-TH" w:bidi="th-TH"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081 0402236</w:t>
      </w:r>
    </w:p>
    <w:p>
      <w:pPr>
        <w:spacing w:after="0" w:line="240" w:lineRule="auto"/>
        <w:rPr>
          <w:rFonts w:hint="default" w:ascii="TH SarabunPSK" w:hAnsi="TH SarabunPSK" w:cs="TH SarabunPSK"/>
          <w:color w:val="000000"/>
          <w:sz w:val="32"/>
          <w:szCs w:val="32"/>
          <w:lang w:val="en-US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>เพื่อประกอบการเรียนการสอนของนักศึกษา</w:t>
      </w:r>
      <w:r>
        <w:rPr>
          <w:rFonts w:hint="cs"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รุ่น 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256</w:t>
      </w:r>
      <w:r>
        <w:rPr>
          <w:rFonts w:hint="default" w:ascii="TH SarabunPSK" w:hAnsi="TH SarabunPSK" w:cs="TH SarabunPSK"/>
          <w:color w:val="000000"/>
          <w:sz w:val="32"/>
          <w:szCs w:val="32"/>
          <w:cs w:val="0"/>
          <w:lang w:val="en-US"/>
        </w:rPr>
        <w:t>5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หน่วยจัดการศึกษาวิทยาลัยชุมชนแม่ฮ่องสอนอำเภอเมือง  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สาขาวิชาคอมพิวเตอร์ธุรกิจ 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>สาขาวิชาการปกครองท้องถิ่น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สาขาวิชาการจัดการ สาขาวิชาการศึกษาปฐมวัย 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และสาขาวิชาสาธารณสุขชุมชน  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ประจำภาคการศึกษาที่ </w:t>
      </w:r>
      <w:r>
        <w:rPr>
          <w:rFonts w:hint="default" w:ascii="TH SarabunPSK" w:hAnsi="TH SarabunPSK" w:cs="TH SarabunPSK"/>
          <w:color w:val="000000"/>
          <w:sz w:val="32"/>
          <w:szCs w:val="32"/>
          <w:cs w:val="0"/>
          <w:lang w:val="en-US" w:bidi="th-TH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>
        <w:rPr>
          <w:rFonts w:hint="default" w:ascii="TH SarabunPSK" w:hAnsi="TH SarabunPSK" w:cs="TH SarabunPSK"/>
          <w:color w:val="000000"/>
          <w:sz w:val="32"/>
          <w:szCs w:val="32"/>
          <w:cs w:val="0"/>
          <w:lang w:val="en-US"/>
        </w:rPr>
        <w:t>6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คำอธิบายรายวิชา</w:t>
      </w:r>
    </w:p>
    <w:p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ความเป็นพลเมือง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สิทธิ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เสรีภาพ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ความยุติธรรม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หน้าที่ความรับผิดชอบต่อตนเองและ</w:t>
      </w: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คุณค่าและเอกลักษณ์ที่ดีงามอย่างไทย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การมีจิตอาสา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และส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นึกสาธารณะ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การมีส่วนร่วมในระบบประชาธิปไตย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วิเคราะห์ปัญหา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ผลกระทบที่เกิดขึ้นกับสังคม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และเสนอแนวทางแก้ปัญหาในสังคมอย่างมีคุณธรรมและจริยธรรม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การจัดทำโครงการในบทบาทหน้าที่ของพลเมือง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จุดประสงค์รายวิชา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เพื่อให้นักศึกษาเข้าใจความหมาย หลักการ แนวคิด ทฤษฎี ของความเป็นพลเมือง สิทธิ เสรีภาพ ความยุติธรรม หน้าที่ความรับผิดชอบต่อตนเองและสังคม</w:t>
      </w:r>
    </w:p>
    <w:p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เพื่อให้นักศึกษาเข้าใจในคุณค่าและเอกลักษณ์ที่ดีงามอย่างไทย การมีจิตอาสา และสำนึกสาธารณะ รวมทั้งการมีส่วนร่วมในระบบประชาธิปไตย</w:t>
      </w:r>
    </w:p>
    <w:p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เพื่อให้นักศึกษาสามารถวิเคราะห์ปัญหา และผลกระทบที่เกิดขึ้นกับสังคม ตลอดจนสามารถเสนอแนวทางแก้ไขปัญหาอย่างมีคุณธรรมและจริยธรรม</w:t>
      </w:r>
    </w:p>
    <w:p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ักศึกษามีส่วนร่วมในการจัดทำโครงการหรือเข้าร่วมกิจกรรมสาธารณะประโยชน์ของกลุ่มและองค์กรอาสาสมัคร  ในบทบาทหน้าที่ของพลเมือง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ข้อตกลงร่วมกัน เพื่อนำไปสู่ความเป็นพลเมือง</w:t>
      </w:r>
      <w:r>
        <w:rPr>
          <w:rFonts w:ascii="TH SarabunPSK" w:hAnsi="TH SarabunPSK" w:cs="TH SarabunPSK"/>
          <w:sz w:val="32"/>
          <w:szCs w:val="32"/>
        </w:rPr>
        <w:t>***</w:t>
      </w:r>
    </w:p>
    <w:p>
      <w:pPr>
        <w:pStyle w:val="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เคารพกติกาการอยู่ร่วมกัน</w:t>
      </w:r>
    </w:p>
    <w:p>
      <w:pPr>
        <w:pStyle w:val="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เคารพสิทธิของผู้อื่น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pStyle w:val="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เคารพความแตกต่าง</w:t>
      </w:r>
    </w:p>
    <w:p>
      <w:pPr>
        <w:pStyle w:val="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รับผิดชอบต่อตนเองและสังคม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เนื้อหาสาระ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บทที่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ความเป็นพลเมือง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  <w:lang w:bidi="ar-SA"/>
        </w:rPr>
        <w:t>1.1</w:t>
      </w:r>
      <w:r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 และความหมายของความเป็นพลเมือง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  <w:lang w:bidi="ar-SA"/>
        </w:rPr>
        <w:t>1.2</w:t>
      </w:r>
      <w:r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แนวคิดความเป็นพลเมืองของเพลโต และอริสโตเติ้ล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พื้นฐานของการเป็นพลเมืองในระบอบประชาธิปไตย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สิทธิ เสรีภาพ และความยุติธรรม 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 และความหมายของสิทธิ เสรีภาพ และความยุติธรรม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สิทธิและเสรีภาพของปวงชนชาวไทยตามรัฐธรรมนูญแห่งราชอาณาจักรไทย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2560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สิทธิ เสรีภาพ และความยุติธรรมกับความเป็นพลเมือง</w:t>
      </w:r>
    </w:p>
    <w:p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บทที่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หน้าที่ความรับผิดชอบต่อตนเองและสังคม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 และความหมายของหน้าที่และความรับผิดชอบ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หน้าที่ของปวงชนชาวไทยตามรัฐธรรมนูญแห่งราชอาณาจักรไทย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2560</w:t>
      </w:r>
    </w:p>
    <w:p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  <w:lang w:val="th-TH" w:bidi="th-TH"/>
        </w:rPr>
        <w:t>บท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  <w:t xml:space="preserve">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คุณค่าและเอกลักษณ์ที่ดีงามอย่างไทย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>
      <w:pPr>
        <w:tabs>
          <w:tab w:val="left" w:pos="4059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หลักการและความหมายของคุณค่าและเอกลักษณ์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4.2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เอกลักษณ์ที่ดีงามอย่างไทย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4.3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การสร้างความตระหนักในคุณค่าและเอกลักษณ์ที่ดีงามอย่างไทย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จิตอาสาและสำนึกสาธารณะ </w:t>
      </w:r>
      <w:bookmarkStart w:id="0" w:name="_GoBack"/>
      <w:bookmarkEnd w:id="0"/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ความหมาย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และความสำคัญ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ของจิตอาสาและสำนึกสาธารณะ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ความสัมพันธ์ระหว่างจิตอาสา และสำนึกสาธารณะ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แนวทางการปลูกฝัง ส่งเสริม พัฒนาจิตอาสา และสำนึกสาธารณะ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การมีส่วนร่วมในระบบประชาธิปไตย </w:t>
      </w: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หลักการและแนวคิดของการปกครองในระบอบประชาธิปไตย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หลักการและความหมายของการมีส่วนร่วม</w:t>
      </w:r>
    </w:p>
    <w:p>
      <w:pPr>
        <w:spacing w:after="0" w:line="240" w:lineRule="auto"/>
        <w:ind w:left="-68" w:firstLine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พลเมืองกับความก้าวหน้าของประชาธิปไตย</w:t>
      </w: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บท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ปัญหาที่มีผลกระทบต่อสังคมและแนวทางแก้ไขอย่างมีคุณธรรมจริยธรรม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ความหมายของปัญหา</w:t>
      </w:r>
    </w:p>
    <w:p>
      <w:pPr>
        <w:tabs>
          <w:tab w:val="left" w:pos="405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7.2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ปัญหาสังคมในปัจจุบัน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tabs>
          <w:tab w:val="right" w:pos="531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7.3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การวิเคราะห์ปัญหาและผลกระทบต่อสังคม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กรณีศึกษาสภาพปัญหาในชุมชนของนักศึกษา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7.4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คุณธรรมและจริยธรรมในการแก้ไขปัญหาของพลเมือง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บทที่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PSK" w:hAnsi="TH SarabunPSK" w:cs="TH SarabunPSK"/>
          <w:sz w:val="32"/>
          <w:szCs w:val="32"/>
          <w:cs w:val="0"/>
          <w:lang w:val="en-US" w:bidi="th-TH"/>
        </w:rPr>
        <w:t xml:space="preserve">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บทบาทหน้าที่ของพลเมืองในการจัดทำโครงการเพื่อสาธารณะประโยชน์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8.1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ความหมายและความสำคัญโครงการ</w:t>
      </w: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8.2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ลักษณะของโครงการที่ดี</w:t>
      </w: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8.3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หลักการเขียนโครงการ</w:t>
      </w: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8.4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แนวทางการบริหารจัดการโครงการ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7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8.5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กิจกรรมการจัดทำโครงการเพื่อสาธารณะประโยชน์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เกณฑ์การวัดผล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5"/>
        <w:tblW w:w="0" w:type="auto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การวัดผล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คะแนนระหว่างภาคเรียน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เวลาเรียน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หรือเข้าร่วมกิจกรรม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งานเดี่ยว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งานกลุ่ม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สอบกลางภาค   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คะแนนสอบปลายภาค</w:t>
            </w:r>
          </w:p>
        </w:tc>
        <w:tc>
          <w:tcPr>
            <w:tcW w:w="129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30</w:t>
            </w:r>
          </w:p>
        </w:tc>
      </w:tr>
    </w:tbl>
    <w:p>
      <w:pPr>
        <w:tabs>
          <w:tab w:val="left" w:pos="63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เกณฑ์การประเมินผล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5"/>
        <w:tblW w:w="0" w:type="auto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การประเมินผล   ใช้การตัดเกรดแบบอิงเกณฑ์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80 - 100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      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75 – 79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B+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70 – 74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       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65 – 69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C+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60 – 64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       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55 – 59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D+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50 – 54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       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 xml:space="preserve">ต่ำกว่า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50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           F</w:t>
            </w:r>
          </w:p>
        </w:tc>
      </w:tr>
    </w:tbl>
    <w:p>
      <w:pPr>
        <w:spacing w:after="0" w:line="240" w:lineRule="auto"/>
        <w:jc w:val="thaiDistribute"/>
        <w:rPr>
          <w:cs/>
        </w:rPr>
      </w:pPr>
    </w:p>
    <w:sectPr>
      <w:pgSz w:w="11906" w:h="16838"/>
      <w:pgMar w:top="1440" w:right="1440" w:bottom="136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">
    <w:panose1 w:val="020B0502040204020203"/>
    <w:charset w:val="00"/>
    <w:family w:val="swiss"/>
    <w:pitch w:val="default"/>
    <w:sig w:usb0="01000001" w:usb1="00000000" w:usb2="00000000" w:usb3="00000000" w:csb0="2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2776B"/>
    <w:multiLevelType w:val="multilevel"/>
    <w:tmpl w:val="36B277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23"/>
    <w:rsid w:val="00025CB8"/>
    <w:rsid w:val="0010687D"/>
    <w:rsid w:val="0019574B"/>
    <w:rsid w:val="0021036C"/>
    <w:rsid w:val="002F3597"/>
    <w:rsid w:val="00394051"/>
    <w:rsid w:val="003F49C4"/>
    <w:rsid w:val="00412653"/>
    <w:rsid w:val="00456241"/>
    <w:rsid w:val="004C5719"/>
    <w:rsid w:val="004D1D08"/>
    <w:rsid w:val="0059629E"/>
    <w:rsid w:val="005C44BD"/>
    <w:rsid w:val="005E0117"/>
    <w:rsid w:val="005E47AD"/>
    <w:rsid w:val="005F0A07"/>
    <w:rsid w:val="005F3F1A"/>
    <w:rsid w:val="00667286"/>
    <w:rsid w:val="00693123"/>
    <w:rsid w:val="006B1A33"/>
    <w:rsid w:val="00744F6B"/>
    <w:rsid w:val="00784B1F"/>
    <w:rsid w:val="008F1DAE"/>
    <w:rsid w:val="00923644"/>
    <w:rsid w:val="00A73AA6"/>
    <w:rsid w:val="00C27FBC"/>
    <w:rsid w:val="00C362B3"/>
    <w:rsid w:val="00C45AAA"/>
    <w:rsid w:val="00CD27C0"/>
    <w:rsid w:val="00D5331D"/>
    <w:rsid w:val="00D633AF"/>
    <w:rsid w:val="00DD1D8F"/>
    <w:rsid w:val="00E17C61"/>
    <w:rsid w:val="00EC1AC1"/>
    <w:rsid w:val="00EE52AC"/>
    <w:rsid w:val="00F039A1"/>
    <w:rsid w:val="00F12F41"/>
    <w:rsid w:val="00F3781E"/>
    <w:rsid w:val="00F44DB5"/>
    <w:rsid w:val="00F632E8"/>
    <w:rsid w:val="00FD24AE"/>
    <w:rsid w:val="19E11A80"/>
    <w:rsid w:val="37E33A2E"/>
    <w:rsid w:val="618C4C7D"/>
    <w:rsid w:val="627744B1"/>
    <w:rsid w:val="643552C2"/>
    <w:rsid w:val="6D0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Angsan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ข้อความบอลลูน อักขระ"/>
    <w:basedOn w:val="2"/>
    <w:link w:val="4"/>
    <w:semiHidden/>
    <w:qFormat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539</Words>
  <Characters>3076</Characters>
  <Lines>25</Lines>
  <Paragraphs>7</Paragraphs>
  <TotalTime>202</TotalTime>
  <ScaleCrop>false</ScaleCrop>
  <LinksUpToDate>false</LinksUpToDate>
  <CharactersWithSpaces>3608</CharactersWithSpaces>
  <Application>WPS Office_12.2.0.13410_F1E327BC-269C-435d-A152-05C5408002CA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2021-06-18T05:53:00Z</dcterms:created>
  <dc:creator>win7</dc:creator>
  <cp:lastModifiedBy>จินตนา เรี��</cp:lastModifiedBy>
  <cp:lastPrinted>2021-06-18T06:41:00Z</cp:lastPrinted>
  <dcterms:modified xsi:type="dcterms:W3CDTF">2024-01-05T15:39:19Z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1054-12.2.0.13410</vt:lpwstr>
  </property>
  <property fmtid="{D5CDD505-2E9C-101B-9397-08002B2CF9AE}" pid="3" name="ICV">
    <vt:lpwstr>A7FCD9FB975543E8A24EFFD5CA637418_12</vt:lpwstr>
  </property>
</Properties>
</file>