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0B037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th-TH" w:bidi="th-TH"/>
        </w:rPr>
        <w:t>ความรู้เบื้องต้นเกี่ยวกับกฎหมาย</w:t>
      </w:r>
    </w:p>
    <w:p w14:paraId="73E7528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Introduction to Law</w:t>
      </w:r>
    </w:p>
    <w:p w14:paraId="4FBDE3D4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th-TH" w:bidi="th-TH"/>
        </w:rPr>
        <w:t xml:space="preserve">ปท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</w:t>
      </w:r>
      <w:r>
        <w:rPr>
          <w:rFonts w:hint="default" w:ascii="TH SarabunPSK" w:hAnsi="TH SarabunPSK" w:cs="TH SarabunPSK"/>
          <w:b/>
          <w:bCs/>
          <w:color w:val="000000"/>
          <w:sz w:val="32"/>
          <w:szCs w:val="32"/>
          <w:cs w:val="0"/>
          <w:lang w:val="en-US"/>
        </w:rPr>
        <w:t>1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</w:t>
      </w:r>
      <w:r>
        <w:rPr>
          <w:rFonts w:hint="default" w:ascii="TH SarabunPSK" w:hAnsi="TH SarabunPSK" w:cs="TH SarabunPSK"/>
          <w:b/>
          <w:bCs/>
          <w:color w:val="000000"/>
          <w:sz w:val="32"/>
          <w:szCs w:val="32"/>
          <w:cs w:val="0"/>
          <w:lang w:val="en-US"/>
        </w:rPr>
        <w:t>3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(3-0-6)</w:t>
      </w:r>
    </w:p>
    <w:p w14:paraId="67B8261D">
      <w:pPr>
        <w:jc w:val="thaiDistribute"/>
        <w:rPr>
          <w:rFonts w:hint="default"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LG 0</w:t>
      </w:r>
      <w:r>
        <w:rPr>
          <w:rFonts w:hint="default" w:ascii="TH SarabunPSK" w:hAnsi="TH SarabunPSK" w:cs="TH SarabunPSK"/>
          <w:b/>
          <w:bCs/>
          <w:color w:val="000000"/>
          <w:sz w:val="32"/>
          <w:szCs w:val="32"/>
          <w:lang w:val="en-US"/>
        </w:rPr>
        <w:t>1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0</w:t>
      </w:r>
      <w:r>
        <w:rPr>
          <w:rFonts w:hint="default" w:ascii="TH SarabunPSK" w:hAnsi="TH SarabunPSK" w:cs="TH SarabunPSK"/>
          <w:b/>
          <w:bCs/>
          <w:color w:val="000000"/>
          <w:sz w:val="32"/>
          <w:szCs w:val="32"/>
          <w:lang w:val="en-US"/>
        </w:rPr>
        <w:t>3</w:t>
      </w:r>
    </w:p>
    <w:p w14:paraId="344336B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 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ความหมาย ความสำคัญ ลักษณะ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ประเภท วิวัฒนาการ ลำดับศักดิ์ของกฎหมาย กระบวนการยุติธรรมเบื้องต้นทางแพ่ง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และ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ทางอาญา กฎหมายรัฐธรรมนูญ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กฎหมายใ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น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ชีวิตประจำวัน</w:t>
      </w:r>
    </w:p>
    <w:p w14:paraId="62E3BD9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เนื้อหา</w:t>
      </w:r>
    </w:p>
    <w:p w14:paraId="572971C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บทที่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ความรู้ทั่วไปเกี่ยวกับกฎหมาย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9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ชม</w:t>
      </w:r>
      <w:r>
        <w:rPr>
          <w:rFonts w:ascii="TH SarabunPSK" w:hAnsi="TH SarabunPSK" w:cs="TH SarabunPSK"/>
          <w:sz w:val="32"/>
          <w:szCs w:val="32"/>
          <w:cs/>
        </w:rPr>
        <w:t>.)</w:t>
      </w:r>
    </w:p>
    <w:p w14:paraId="492A89D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ความหมายของกฎหมาย</w:t>
      </w:r>
    </w:p>
    <w:p w14:paraId="69C0653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ความสำคัญของกฎมาย</w:t>
      </w:r>
    </w:p>
    <w:p w14:paraId="230187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ลักษณะของกฎหมาย</w:t>
      </w:r>
    </w:p>
    <w:p w14:paraId="333A53D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สภาพบังคับในทางกฎหมาย</w:t>
      </w:r>
    </w:p>
    <w:p w14:paraId="1D16B70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โครงร่างของกฎหมาย</w:t>
      </w:r>
    </w:p>
    <w:p w14:paraId="1E5FDE9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ระบบกฎหมายที่สำคัญ</w:t>
      </w:r>
    </w:p>
    <w:p w14:paraId="5539286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วิวัฒนาการของกฎหมายไทย</w:t>
      </w:r>
    </w:p>
    <w:p w14:paraId="34E782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บทที่ </w:t>
      </w:r>
      <w:r>
        <w:rPr>
          <w:rFonts w:ascii="TH SarabunPSK" w:hAnsi="TH SarabunPSK" w:cs="TH SarabunPSK"/>
          <w:sz w:val="32"/>
          <w:szCs w:val="32"/>
        </w:rPr>
        <w:t xml:space="preserve">2 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ที่มาของกฎหมาย  ประเภทของกฎหมาย  ศักดิ์ของกฎหมาย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การบังคับใช้และการตีความกฎหมาย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9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ชม</w:t>
      </w:r>
      <w:r>
        <w:rPr>
          <w:rFonts w:ascii="TH SarabunPSK" w:hAnsi="TH SarabunPSK" w:cs="TH SarabunPSK"/>
          <w:sz w:val="32"/>
          <w:szCs w:val="32"/>
          <w:cs/>
        </w:rPr>
        <w:t>.)</w:t>
      </w:r>
    </w:p>
    <w:p w14:paraId="1AF751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ที่มาของกฎหมาย</w:t>
      </w:r>
    </w:p>
    <w:p w14:paraId="64661B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ประเภทของกฎหมาย</w:t>
      </w:r>
    </w:p>
    <w:p w14:paraId="341ECE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ศักดิ์ของกฎหมาย</w:t>
      </w:r>
    </w:p>
    <w:p w14:paraId="401903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การบังคับใช้กฎหมาย</w:t>
      </w:r>
    </w:p>
    <w:p w14:paraId="7D7A2E2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วันสิ้นสุดแห่งการใช้บังคับกฎหมาย</w:t>
      </w:r>
    </w:p>
    <w:p w14:paraId="6214A0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ขอบเขตที่กฎหมายจะใช้บังคับ</w:t>
      </w:r>
    </w:p>
    <w:p w14:paraId="30380B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สถานที่ใช้บังคับกฎหมาย</w:t>
      </w:r>
    </w:p>
    <w:p w14:paraId="0BA3242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บุคคลที่ต้องถูกบังคับ</w:t>
      </w:r>
    </w:p>
    <w:p w14:paraId="335C6A84">
      <w:pPr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การตีความกฎหมาย</w:t>
      </w:r>
    </w:p>
    <w:p w14:paraId="2C78D2C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บทที่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กระบวนการยุติธรรม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hint="default" w:ascii="TH SarabunPSK" w:hAnsi="TH SarabunPSK" w:cs="TH SarabunPSK"/>
          <w:sz w:val="32"/>
          <w:szCs w:val="32"/>
          <w:cs w:val="0"/>
          <w:lang w:val="en-US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ชม</w:t>
      </w:r>
      <w:r>
        <w:rPr>
          <w:rFonts w:ascii="TH SarabunPSK" w:hAnsi="TH SarabunPSK" w:cs="TH SarabunPSK"/>
          <w:sz w:val="32"/>
          <w:szCs w:val="32"/>
          <w:cs/>
        </w:rPr>
        <w:t>.)</w:t>
      </w:r>
    </w:p>
    <w:p w14:paraId="207DEB93">
      <w:pPr>
        <w:rPr>
          <w:rFonts w:hint="cs"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>-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กระบวนการยุติธรรมเบื้องต้น</w:t>
      </w:r>
    </w:p>
    <w:p w14:paraId="4DB38E3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กระบวนการยุติธรรมทางแพ่ง</w:t>
      </w:r>
    </w:p>
    <w:p w14:paraId="09C2CBDE">
      <w:pPr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กระบวนการยุติธรรมทางอาญา</w:t>
      </w:r>
    </w:p>
    <w:p w14:paraId="5A447E19">
      <w:pP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บทที่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4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กฎหมายรัฐธรรมนูญ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(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 xml:space="preserve">6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ชม.)</w:t>
      </w:r>
    </w:p>
    <w:p w14:paraId="56A19C24">
      <w:pPr>
        <w:rPr>
          <w:rFonts w:hint="cs"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-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ความแตกต่างของกฎหมายมหาชนและกฎหมายเอกชน</w:t>
      </w:r>
    </w:p>
    <w:p w14:paraId="51BFEF30">
      <w:pPr>
        <w:rPr>
          <w:rFonts w:hint="cs"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-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วิวัฒนาการของรัฐธรรมนูญ</w:t>
      </w:r>
    </w:p>
    <w:p w14:paraId="7B3966BF">
      <w:pPr>
        <w:rPr>
          <w:rFonts w:hint="cs"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-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คุณค่าและความสำคัญของรัฐธรรมนูญ</w:t>
      </w:r>
    </w:p>
    <w:p w14:paraId="264A32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บทที่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5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กฎหมายในชีวิตประจำวัน 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นิติกรรม สัญญาและหนี้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ชม</w:t>
      </w:r>
      <w:r>
        <w:rPr>
          <w:rFonts w:ascii="TH SarabunPSK" w:hAnsi="TH SarabunPSK" w:cs="TH SarabunPSK"/>
          <w:sz w:val="32"/>
          <w:szCs w:val="32"/>
          <w:cs/>
        </w:rPr>
        <w:t>.)</w:t>
      </w:r>
    </w:p>
    <w:p w14:paraId="0AFC8C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นิติกรรม</w:t>
      </w:r>
    </w:p>
    <w:p w14:paraId="059290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สัญญา</w:t>
      </w:r>
    </w:p>
    <w:p w14:paraId="767ED74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หนี้</w:t>
      </w:r>
    </w:p>
    <w:p w14:paraId="31D407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บทที่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กฎหมายในชีวิตประจำวัน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บุคคล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ชม</w:t>
      </w:r>
      <w:r>
        <w:rPr>
          <w:rFonts w:ascii="TH SarabunPSK" w:hAnsi="TH SarabunPSK" w:cs="TH SarabunPSK"/>
          <w:sz w:val="32"/>
          <w:szCs w:val="32"/>
          <w:cs/>
        </w:rPr>
        <w:t>.)</w:t>
      </w:r>
    </w:p>
    <w:p w14:paraId="1AB3A6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บุคคลธรรมดา</w:t>
      </w:r>
    </w:p>
    <w:p w14:paraId="4FE0D45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นิติบุคคล</w:t>
      </w:r>
    </w:p>
    <w:p w14:paraId="77BA86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บทที่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กฎหมายในชีวิตประจำวัน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ทรัพย์และทรัพย์สิน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ชม</w:t>
      </w:r>
      <w:r>
        <w:rPr>
          <w:rFonts w:ascii="TH SarabunPSK" w:hAnsi="TH SarabunPSK" w:cs="TH SarabunPSK"/>
          <w:sz w:val="32"/>
          <w:szCs w:val="32"/>
          <w:cs/>
        </w:rPr>
        <w:t>.)</w:t>
      </w:r>
    </w:p>
    <w:p w14:paraId="47A1DB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ความหมายของทรัพย์ และทรัพย์สิน</w:t>
      </w:r>
    </w:p>
    <w:p w14:paraId="732C7F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ประเภทของทรัพย์สิน</w:t>
      </w:r>
    </w:p>
    <w:p w14:paraId="70F2BB2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ส่วนประกอบของทรัพย์</w:t>
      </w:r>
    </w:p>
    <w:p w14:paraId="51DF3E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บทที่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กฎหมายในชีวิตประจำวัน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ครอบครัวและมรดก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ชม</w:t>
      </w:r>
      <w:r>
        <w:rPr>
          <w:rFonts w:ascii="TH SarabunPSK" w:hAnsi="TH SarabunPSK" w:cs="TH SarabunPSK"/>
          <w:sz w:val="32"/>
          <w:szCs w:val="32"/>
          <w:cs/>
        </w:rPr>
        <w:t>.)</w:t>
      </w:r>
    </w:p>
    <w:p w14:paraId="0A4EA6D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ครอบครัว  การหมั้น การสมรส การรับบุตรบุญธรรม</w:t>
      </w:r>
    </w:p>
    <w:p w14:paraId="053D716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มรดก  </w:t>
      </w:r>
    </w:p>
    <w:p w14:paraId="7D986BC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เกณฑ์การวัดผล</w:t>
      </w:r>
    </w:p>
    <w:tbl>
      <w:tblPr>
        <w:tblStyle w:val="5"/>
        <w:tblW w:w="0" w:type="auto"/>
        <w:tblInd w:w="8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1680"/>
      </w:tblGrid>
      <w:tr w14:paraId="08A1A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8" w:type="dxa"/>
            <w:gridSpan w:val="2"/>
          </w:tcPr>
          <w:p w14:paraId="3DCF1F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การวัดผล</w:t>
            </w:r>
          </w:p>
        </w:tc>
      </w:tr>
      <w:tr w14:paraId="6A2CF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</w:tcPr>
          <w:p w14:paraId="74196F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คะแนนระหว่างภาคเรียน</w:t>
            </w:r>
          </w:p>
        </w:tc>
        <w:tc>
          <w:tcPr>
            <w:tcW w:w="1680" w:type="dxa"/>
          </w:tcPr>
          <w:p w14:paraId="048EA5BB">
            <w:pPr>
              <w:rPr>
                <w:rFonts w:hint="cs"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14:paraId="2DFB2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</w:tcPr>
          <w:p w14:paraId="13BE81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เวลาเรียน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หรือเข้าร่วมกิจกรรม</w:t>
            </w:r>
          </w:p>
        </w:tc>
        <w:tc>
          <w:tcPr>
            <w:tcW w:w="1680" w:type="dxa"/>
          </w:tcPr>
          <w:p w14:paraId="1F4DEC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14:paraId="008F4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</w:tcPr>
          <w:p w14:paraId="03375E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งานเดี่ยว</w:t>
            </w:r>
          </w:p>
        </w:tc>
        <w:tc>
          <w:tcPr>
            <w:tcW w:w="1680" w:type="dxa"/>
          </w:tcPr>
          <w:p w14:paraId="76BBA5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14:paraId="7AD8E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</w:tcPr>
          <w:p w14:paraId="4105C0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สอบกลางภาค   </w:t>
            </w:r>
          </w:p>
        </w:tc>
        <w:tc>
          <w:tcPr>
            <w:tcW w:w="1680" w:type="dxa"/>
          </w:tcPr>
          <w:p w14:paraId="30B3DC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ร้อยละ  </w:t>
            </w: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14:paraId="56B6B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</w:tcPr>
          <w:p w14:paraId="7E46AF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คะแนนสอบปลายภาค</w:t>
            </w:r>
          </w:p>
        </w:tc>
        <w:tc>
          <w:tcPr>
            <w:tcW w:w="1680" w:type="dxa"/>
          </w:tcPr>
          <w:p w14:paraId="2709BB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</w:tbl>
    <w:p w14:paraId="3EB0909B">
      <w:pPr>
        <w:rPr>
          <w:rFonts w:ascii="TH SarabunPSK" w:hAnsi="TH SarabunPSK" w:cs="TH SarabunPSK"/>
          <w:sz w:val="32"/>
          <w:szCs w:val="32"/>
        </w:rPr>
      </w:pPr>
    </w:p>
    <w:p w14:paraId="1387E25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เกณฑ์การประเมินผล</w:t>
      </w:r>
    </w:p>
    <w:tbl>
      <w:tblPr>
        <w:tblStyle w:val="5"/>
        <w:tblW w:w="0" w:type="auto"/>
        <w:tblInd w:w="8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5"/>
        <w:gridCol w:w="1619"/>
      </w:tblGrid>
      <w:tr w14:paraId="289D1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gridSpan w:val="2"/>
          </w:tcPr>
          <w:p w14:paraId="6F466E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การประเมินผล   ใช้การตัดเกรดแบบอิงเกณฑ์  </w:t>
            </w:r>
          </w:p>
        </w:tc>
      </w:tr>
      <w:tr w14:paraId="69933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344D21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80 - 100</w:t>
            </w:r>
          </w:p>
        </w:tc>
        <w:tc>
          <w:tcPr>
            <w:tcW w:w="1619" w:type="dxa"/>
          </w:tcPr>
          <w:p w14:paraId="6B9F71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A</w:t>
            </w:r>
          </w:p>
        </w:tc>
      </w:tr>
      <w:tr w14:paraId="210F5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0737F7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 – 79</w:t>
            </w:r>
          </w:p>
        </w:tc>
        <w:tc>
          <w:tcPr>
            <w:tcW w:w="1619" w:type="dxa"/>
          </w:tcPr>
          <w:p w14:paraId="2F2973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B+</w:t>
            </w:r>
          </w:p>
        </w:tc>
      </w:tr>
      <w:tr w14:paraId="575FF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3BA3F4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 – 74</w:t>
            </w:r>
          </w:p>
        </w:tc>
        <w:tc>
          <w:tcPr>
            <w:tcW w:w="1619" w:type="dxa"/>
          </w:tcPr>
          <w:p w14:paraId="2AC18E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B</w:t>
            </w:r>
          </w:p>
        </w:tc>
      </w:tr>
      <w:tr w14:paraId="44361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1BF85A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 – 69</w:t>
            </w:r>
          </w:p>
        </w:tc>
        <w:tc>
          <w:tcPr>
            <w:tcW w:w="1619" w:type="dxa"/>
          </w:tcPr>
          <w:p w14:paraId="450B17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C+</w:t>
            </w:r>
          </w:p>
        </w:tc>
      </w:tr>
      <w:tr w14:paraId="0F8B7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3F83A4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 – 64</w:t>
            </w:r>
          </w:p>
        </w:tc>
        <w:tc>
          <w:tcPr>
            <w:tcW w:w="1619" w:type="dxa"/>
          </w:tcPr>
          <w:p w14:paraId="6B84FB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C</w:t>
            </w:r>
          </w:p>
        </w:tc>
      </w:tr>
      <w:tr w14:paraId="76190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3DA346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 – 59</w:t>
            </w:r>
          </w:p>
        </w:tc>
        <w:tc>
          <w:tcPr>
            <w:tcW w:w="1619" w:type="dxa"/>
          </w:tcPr>
          <w:p w14:paraId="3992BB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</w:tr>
      <w:tr w14:paraId="13902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08030D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 – 54</w:t>
            </w:r>
          </w:p>
        </w:tc>
        <w:tc>
          <w:tcPr>
            <w:tcW w:w="1619" w:type="dxa"/>
          </w:tcPr>
          <w:p w14:paraId="6CC550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D</w:t>
            </w:r>
          </w:p>
        </w:tc>
      </w:tr>
      <w:tr w14:paraId="30884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18E746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619" w:type="dxa"/>
          </w:tcPr>
          <w:p w14:paraId="68F972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F</w:t>
            </w:r>
          </w:p>
        </w:tc>
      </w:tr>
    </w:tbl>
    <w:p w14:paraId="4B0DDA65">
      <w:pPr>
        <w:rPr>
          <w:rFonts w:ascii="TH SarabunPSK" w:hAnsi="TH SarabunPSK" w:cs="TH SarabunPSK"/>
          <w:sz w:val="32"/>
          <w:szCs w:val="32"/>
        </w:rPr>
      </w:pPr>
    </w:p>
    <w:p w14:paraId="00A6CC20">
      <w:pPr>
        <w:rPr>
          <w:rFonts w:ascii="TH SarabunPSK" w:hAnsi="TH SarabunPSK" w:cs="TH SarabunPSK"/>
          <w:sz w:val="32"/>
          <w:szCs w:val="32"/>
        </w:rPr>
      </w:pPr>
    </w:p>
    <w:p w14:paraId="434F6DBD">
      <w:pPr>
        <w:rPr>
          <w:rFonts w:ascii="TH SarabunPSK" w:hAnsi="TH SarabunPSK" w:cs="TH SarabunPSK"/>
          <w:sz w:val="32"/>
          <w:szCs w:val="32"/>
        </w:rPr>
      </w:pPr>
    </w:p>
    <w:p w14:paraId="4C5AACEC">
      <w:pPr>
        <w:rPr>
          <w:rFonts w:ascii="TH SarabunPSK" w:hAnsi="TH SarabunPSK" w:cs="TH SarabunPSK"/>
          <w:sz w:val="32"/>
          <w:szCs w:val="32"/>
        </w:rPr>
      </w:pPr>
    </w:p>
    <w:p w14:paraId="068927D8">
      <w:bookmarkStart w:id="0" w:name="_GoBack"/>
      <w:bookmarkEnd w:id="0"/>
    </w:p>
    <w:p w14:paraId="7FB5FE3A"/>
    <w:p w14:paraId="1F1ED4E5"/>
    <w:p w14:paraId="0DC8783B"/>
    <w:p w14:paraId="6150BE8A"/>
    <w:p w14:paraId="46373C89"/>
    <w:p w14:paraId="215D671A"/>
    <w:p w14:paraId="527E6695"/>
    <w:p w14:paraId="56F5ABE7"/>
    <w:p w14:paraId="569A15EC"/>
    <w:p w14:paraId="5449C82B"/>
    <w:p w14:paraId="719D855A"/>
    <w:p w14:paraId="7BA0D511"/>
    <w:p w14:paraId="1307EAB7"/>
    <w:p w14:paraId="7E1E73FF"/>
    <w:p w14:paraId="131EA33D"/>
    <w:p w14:paraId="3827CD82"/>
    <w:p w14:paraId="30154AC4"/>
    <w:p w14:paraId="610F5294"/>
    <w:p w14:paraId="51D03C64"/>
    <w:p w14:paraId="223BD55E"/>
    <w:p w14:paraId="43973DFE"/>
    <w:p w14:paraId="0849ECD8"/>
    <w:p w14:paraId="1B8A1DC7"/>
    <w:p w14:paraId="3B77ADD2"/>
    <w:p w14:paraId="33A61B47"/>
    <w:p w14:paraId="2A44184E"/>
    <w:p w14:paraId="6255D0D0"/>
    <w:p w14:paraId="2C817400"/>
    <w:p w14:paraId="41931E21"/>
    <w:p w14:paraId="61153EB3"/>
    <w:p w14:paraId="17F53521"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Leelawadee">
    <w:altName w:val="Leelawadee UI"/>
    <w:panose1 w:val="020B0502040204020203"/>
    <w:charset w:val="DE"/>
    <w:family w:val="swiss"/>
    <w:pitch w:val="default"/>
    <w:sig w:usb0="00000000" w:usb1="00000000" w:usb2="00000000" w:usb3="00000000" w:csb0="2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B8"/>
    <w:rsid w:val="0001346A"/>
    <w:rsid w:val="002C1025"/>
    <w:rsid w:val="003346F0"/>
    <w:rsid w:val="00365815"/>
    <w:rsid w:val="00460292"/>
    <w:rsid w:val="006E1EC0"/>
    <w:rsid w:val="0073331E"/>
    <w:rsid w:val="00771821"/>
    <w:rsid w:val="008C5C51"/>
    <w:rsid w:val="009575FB"/>
    <w:rsid w:val="009B20C4"/>
    <w:rsid w:val="009D1FC2"/>
    <w:rsid w:val="00AA2A73"/>
    <w:rsid w:val="00B60D5B"/>
    <w:rsid w:val="00BB0A28"/>
    <w:rsid w:val="00BB436E"/>
    <w:rsid w:val="00C66BEE"/>
    <w:rsid w:val="00CE61D1"/>
    <w:rsid w:val="00D0559A"/>
    <w:rsid w:val="00E452B8"/>
    <w:rsid w:val="00E63C71"/>
    <w:rsid w:val="00E8596A"/>
    <w:rsid w:val="00E95A4D"/>
    <w:rsid w:val="00FD5C1B"/>
    <w:rsid w:val="102915D5"/>
    <w:rsid w:val="28B12DAE"/>
    <w:rsid w:val="355F1273"/>
    <w:rsid w:val="6DD94196"/>
    <w:rsid w:val="734723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Angsana New"/>
      <w:sz w:val="24"/>
      <w:szCs w:val="28"/>
      <w:lang w:val="en-US" w:eastAsia="en-US" w:bidi="th-TH"/>
    </w:rPr>
  </w:style>
  <w:style w:type="paragraph" w:styleId="2">
    <w:name w:val="heading 2"/>
    <w:basedOn w:val="1"/>
    <w:next w:val="1"/>
    <w:link w:val="9"/>
    <w:qFormat/>
    <w:uiPriority w:val="9"/>
    <w:pPr>
      <w:spacing w:before="100" w:beforeAutospacing="1" w:after="100" w:afterAutospacing="1"/>
      <w:outlineLvl w:val="1"/>
    </w:pPr>
    <w:rPr>
      <w:rFonts w:ascii="Angsana New" w:hAnsi="Angsana New"/>
      <w:b/>
      <w:bCs/>
      <w:sz w:val="36"/>
      <w:szCs w:val="36"/>
    </w:rPr>
  </w:style>
  <w:style w:type="paragraph" w:styleId="3">
    <w:name w:val="heading 4"/>
    <w:basedOn w:val="1"/>
    <w:next w:val="1"/>
    <w:link w:val="10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8"/>
    <w:semiHidden/>
    <w:unhideWhenUsed/>
    <w:uiPriority w:val="99"/>
    <w:rPr>
      <w:rFonts w:ascii="Leelawadee" w:hAnsi="Leelawadee"/>
      <w:sz w:val="18"/>
      <w:szCs w:val="22"/>
    </w:rPr>
  </w:style>
  <w:style w:type="paragraph" w:customStyle="1" w:styleId="7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 w:eastAsiaTheme="minorHAnsi"/>
      <w:color w:val="000000"/>
      <w:sz w:val="24"/>
      <w:szCs w:val="24"/>
      <w:lang w:val="en-US" w:eastAsia="en-US" w:bidi="th-TH"/>
    </w:rPr>
  </w:style>
  <w:style w:type="character" w:customStyle="1" w:styleId="8">
    <w:name w:val="Balloon Text Char"/>
    <w:basedOn w:val="4"/>
    <w:link w:val="6"/>
    <w:semiHidden/>
    <w:uiPriority w:val="99"/>
    <w:rPr>
      <w:rFonts w:ascii="Leelawadee" w:hAnsi="Leelawadee" w:eastAsia="Times New Roman" w:cs="Angsana New"/>
      <w:sz w:val="18"/>
      <w:szCs w:val="22"/>
    </w:rPr>
  </w:style>
  <w:style w:type="character" w:customStyle="1" w:styleId="9">
    <w:name w:val="Heading 2 Char"/>
    <w:basedOn w:val="4"/>
    <w:link w:val="2"/>
    <w:qFormat/>
    <w:uiPriority w:val="9"/>
    <w:rPr>
      <w:rFonts w:ascii="Angsana New" w:hAnsi="Angsana New" w:eastAsia="Times New Roman" w:cs="Angsana New"/>
      <w:b/>
      <w:bCs/>
      <w:sz w:val="36"/>
      <w:szCs w:val="36"/>
    </w:rPr>
  </w:style>
  <w:style w:type="character" w:customStyle="1" w:styleId="10">
    <w:name w:val="Heading 4 Char"/>
    <w:basedOn w:val="4"/>
    <w:link w:val="3"/>
    <w:semiHidden/>
    <w:uiPriority w:val="9"/>
    <w:rPr>
      <w:rFonts w:asciiTheme="majorHAnsi" w:hAnsiTheme="majorHAnsi" w:eastAsiaTheme="majorEastAsia" w:cstheme="majorBidi"/>
      <w:i/>
      <w:iCs/>
      <w:color w:val="2E75B6" w:themeColor="accent1" w:themeShade="BF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249</Words>
  <Characters>1424</Characters>
  <Lines>11</Lines>
  <Paragraphs>3</Paragraphs>
  <TotalTime>54</TotalTime>
  <ScaleCrop>false</ScaleCrop>
  <LinksUpToDate>false</LinksUpToDate>
  <CharactersWithSpaces>1670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2021-02-20T02:30:00Z</dcterms:created>
  <dc:creator>testpcaccess</dc:creator>
  <cp:lastModifiedBy>จินตนา เรี��</cp:lastModifiedBy>
  <cp:lastPrinted>2021-02-20T02:38:00Z</cp:lastPrinted>
  <dcterms:modified xsi:type="dcterms:W3CDTF">2024-12-13T16:10:18Z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1054-12.2.0.19307</vt:lpwstr>
  </property>
  <property fmtid="{D5CDD505-2E9C-101B-9397-08002B2CF9AE}" pid="3" name="ICV">
    <vt:lpwstr>DE7E3AF5AC6B4415B312DAD73792F2E0_13</vt:lpwstr>
  </property>
</Properties>
</file>